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E4F941E" w14:textId="0362AF66" w:rsidR="00782229" w:rsidRDefault="004B459C" w:rsidP="00327F29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AB5778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327F29">
        <w:rPr>
          <w:rFonts w:ascii="Times New Roman" w:hAnsi="Times New Roman" w:cs="Times New Roman"/>
          <w:b/>
          <w:sz w:val="24"/>
          <w:szCs w:val="24"/>
          <w:lang w:val="kk-KZ"/>
        </w:rPr>
        <w:t>1724</w:t>
      </w:r>
      <w:r w:rsidR="00F660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5778">
        <w:rPr>
          <w:rFonts w:ascii="Times New Roman" w:hAnsi="Times New Roman" w:cs="Times New Roman"/>
          <w:b/>
          <w:sz w:val="24"/>
          <w:szCs w:val="24"/>
        </w:rPr>
        <w:t>«</w:t>
      </w:r>
      <w:r w:rsidR="00327F29" w:rsidRPr="00327F29">
        <w:rPr>
          <w:rFonts w:ascii="Times New Roman" w:hAnsi="Times New Roman" w:cs="Times New Roman"/>
          <w:b/>
          <w:sz w:val="24"/>
          <w:szCs w:val="24"/>
        </w:rPr>
        <w:t>П</w:t>
      </w:r>
      <w:r w:rsidR="00327F29" w:rsidRPr="00327F29">
        <w:rPr>
          <w:rFonts w:ascii="Times New Roman" w:hAnsi="Times New Roman" w:cs="Times New Roman"/>
          <w:b/>
          <w:sz w:val="24"/>
          <w:szCs w:val="24"/>
        </w:rPr>
        <w:t>редоставление медико-технической помощи по протезированию и обеспечение про</w:t>
      </w:r>
      <w:r w:rsidR="00327F29">
        <w:rPr>
          <w:rFonts w:ascii="Times New Roman" w:hAnsi="Times New Roman" w:cs="Times New Roman"/>
          <w:b/>
          <w:sz w:val="24"/>
          <w:szCs w:val="24"/>
        </w:rPr>
        <w:t>тезно-ортопедическими изделиями</w:t>
      </w:r>
      <w:r w:rsidR="00327F29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327F29" w:rsidRPr="00327F29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AB5778" w:rsidRPr="00AB5778">
        <w:rPr>
          <w:rFonts w:ascii="Times New Roman" w:hAnsi="Times New Roman" w:cs="Times New Roman"/>
          <w:b/>
          <w:sz w:val="24"/>
          <w:szCs w:val="24"/>
        </w:rPr>
        <w:t>»</w:t>
      </w:r>
    </w:p>
    <w:p w14:paraId="23500F6B" w14:textId="77777777" w:rsidR="00AB5054" w:rsidRPr="00B648EF" w:rsidRDefault="00AB5054" w:rsidP="00AB5054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2D06E00" w14:textId="0D03FAB2" w:rsidR="00B648EF" w:rsidRPr="00B648EF" w:rsidRDefault="00B648EF" w:rsidP="00B648EF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  <w:lang w:val="kk-KZ"/>
        </w:rPr>
      </w:pPr>
      <w:r w:rsidRPr="00B648EF">
        <w:rPr>
          <w:rFonts w:eastAsiaTheme="minorEastAsia"/>
          <w:b w:val="0"/>
          <w:i w:val="0"/>
          <w:sz w:val="24"/>
          <w:szCs w:val="24"/>
        </w:rPr>
        <w:t xml:space="preserve">Техническое обоснование разработки (пересмотра) стандарта </w:t>
      </w:r>
      <w:r w:rsidR="00327F29">
        <w:rPr>
          <w:rFonts w:eastAsiaTheme="minorEastAsia"/>
          <w:b w:val="0"/>
          <w:i w:val="0"/>
          <w:sz w:val="24"/>
          <w:szCs w:val="24"/>
        </w:rPr>
        <w:t xml:space="preserve">                                                           </w:t>
      </w:r>
      <w:r w:rsidR="00327F29" w:rsidRPr="00327F29">
        <w:rPr>
          <w:rFonts w:eastAsiaTheme="minorEastAsia"/>
          <w:b w:val="0"/>
          <w:i w:val="0"/>
          <w:sz w:val="24"/>
          <w:szCs w:val="24"/>
        </w:rPr>
        <w:t>СТ РК 1724–2007 «Предоставление медицинских услуг по протезированию и обеспечение протезно-ортопедическими изделиями. Общие требования»</w:t>
      </w:r>
      <w:r>
        <w:rPr>
          <w:rFonts w:eastAsiaTheme="minorEastAsia"/>
          <w:b w:val="0"/>
          <w:i w:val="0"/>
          <w:sz w:val="24"/>
          <w:szCs w:val="24"/>
          <w:lang w:val="kk-KZ"/>
        </w:rPr>
        <w:t xml:space="preserve"> </w:t>
      </w:r>
      <w:r>
        <w:rPr>
          <w:rFonts w:eastAsiaTheme="minorEastAsia"/>
          <w:b w:val="0"/>
          <w:i w:val="0"/>
          <w:sz w:val="24"/>
          <w:szCs w:val="24"/>
        </w:rPr>
        <w:t>необходима по нескольким причинам</w:t>
      </w:r>
      <w:r>
        <w:rPr>
          <w:rFonts w:eastAsiaTheme="minorEastAsia"/>
          <w:b w:val="0"/>
          <w:i w:val="0"/>
          <w:sz w:val="24"/>
          <w:szCs w:val="24"/>
          <w:lang w:val="kk-KZ"/>
        </w:rPr>
        <w:t>:</w:t>
      </w:r>
    </w:p>
    <w:p w14:paraId="39C042DB" w14:textId="15436ED3" w:rsidR="00327F29" w:rsidRPr="00327F29" w:rsidRDefault="00327F29" w:rsidP="00327F29">
      <w:pPr>
        <w:pStyle w:val="31"/>
        <w:numPr>
          <w:ilvl w:val="0"/>
          <w:numId w:val="6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Изменения в законодательстве: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Если в стране произошли изменения в законодательстве или нормативных актах, касающихся медицинских протезов и ортопедических изделий, необходимо обосновать, как стандарт будет соответствовать новым требованиям.</w:t>
      </w:r>
    </w:p>
    <w:p w14:paraId="47395472" w14:textId="7F76ED2A" w:rsidR="00327F29" w:rsidRPr="00327F29" w:rsidRDefault="00327F29" w:rsidP="00327F2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Технологический прогресс: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Если в отрасли произошли технологические изменения или новые методы и материалы стали доступными, стандарт может потребовать обновления, чтобы отразить эти нововведения и обеспечить более высокий уровень качества продукции.</w:t>
      </w:r>
    </w:p>
    <w:p w14:paraId="5429373F" w14:textId="379B9B63" w:rsidR="00327F29" w:rsidRPr="00327F29" w:rsidRDefault="00327F29" w:rsidP="00327F2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Медицинская практика: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Изменения в медицинской практике и методах лечения могут потребовать пересмотра стандарта, чтобы он был более актуальным и соответствовал современным стандартам ухода за пациентами.</w:t>
      </w:r>
    </w:p>
    <w:p w14:paraId="4D6B3446" w14:textId="7B6F248F" w:rsidR="00327F29" w:rsidRPr="00327F29" w:rsidRDefault="00327F29" w:rsidP="00327F2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Опыт и данные: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Предоставление статистических данных, исследований или реальных случаев, которые показывают необходимость изменения стандарта, может быть важным аргументом. Это может включать в себя информацию о несчастных случаях, дефектах изделий или других проблемах, которые могли бы быть предотвращены с помощью новых требований.</w:t>
      </w:r>
    </w:p>
    <w:p w14:paraId="2644BE22" w14:textId="03C06FA1" w:rsidR="00327F29" w:rsidRPr="00327F29" w:rsidRDefault="00327F29" w:rsidP="00327F2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Международные стандарты: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Если существуют международные стандарты или рекомендации, которые касаются предоставления медико-технической помощи по протезированию и обеспечению протезно-ортопедическими изделиями, то в техническом обосновании следует указать их значимость и соответствие национальным интересам.</w:t>
      </w:r>
    </w:p>
    <w:p w14:paraId="50FA514A" w14:textId="70F4D633" w:rsidR="00B648EF" w:rsidRPr="00327F29" w:rsidRDefault="00327F29" w:rsidP="00327F29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327F29">
        <w:rPr>
          <w:rFonts w:eastAsiaTheme="minorEastAsia"/>
          <w:b w:val="0"/>
          <w:i w:val="0"/>
          <w:sz w:val="24"/>
          <w:szCs w:val="24"/>
          <w:u w:val="single"/>
        </w:rPr>
        <w:t>Социальные и экономические аспекты:</w:t>
      </w:r>
      <w:r w:rsidRPr="00327F29">
        <w:rPr>
          <w:rFonts w:eastAsiaTheme="minorEastAsia"/>
          <w:b w:val="0"/>
          <w:i w:val="0"/>
          <w:sz w:val="24"/>
          <w:szCs w:val="24"/>
        </w:rPr>
        <w:t xml:space="preserve"> Обоснование может также включать в себя анализ социальных и экономических выгод от изменения стандарта, таких как улучшение качества жизни пациентов, снижение затрат на здравоохранение и другие показатели.</w:t>
      </w:r>
    </w:p>
    <w:p w14:paraId="48A1781B" w14:textId="2572A42C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bookmarkStart w:id="0" w:name="_GoBack"/>
      <w:r>
        <w:rPr>
          <w:b w:val="0"/>
          <w:i w:val="0"/>
          <w:sz w:val="24"/>
          <w:szCs w:val="24"/>
        </w:rPr>
        <w:t>Стандарты не пересматривались более 10 лет и з</w:t>
      </w:r>
      <w:r w:rsidRPr="00327F29">
        <w:rPr>
          <w:b w:val="0"/>
          <w:i w:val="0"/>
          <w:sz w:val="24"/>
          <w:szCs w:val="24"/>
        </w:rPr>
        <w:t>а данное время технологические процессы и нормативно-правовые акты изменились. Так, шинно-кожаные протезы практические не применяются. В Республики Казахстан принят Социальный кодекс от 20 апреля 2023 года № 224-VII.</w:t>
      </w:r>
    </w:p>
    <w:p w14:paraId="75897E2C" w14:textId="77777777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Кроме того, в СТ РК 68-2012 «Изделия протезно-ортопедические, изготовленные по индивидуальным заказам населения. Общие технические условия» включены, фактически продублированы термины СТ РК 69-2012 и СТ РК 70–2012 и т.д.</w:t>
      </w:r>
    </w:p>
    <w:p w14:paraId="36BA4589" w14:textId="77777777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СТ РК 1724-2007 по предоставлению медицинских услуг противоречит не только Социальному кодексу РК, но и Кодексу Республики Казахстан от 7 июля 2020 года № 360-VI «О здоровье народа и системе здравоохранения». Так, согласно Кодексу «О здоровье…» ст.1 п. 181) медицинские услуги – действия субъектов здравоохранения, имеющие профилактическую, диагностическую, лечебную, реабилитационную и паллиативную направленность по отношению к конкретному человеку. При протезировании оказываются согласно Социального кодекса РК протезно-ортопедическая и медика-техническая помощь, которые не являются медицинскими услугами.</w:t>
      </w:r>
    </w:p>
    <w:p w14:paraId="230A73CF" w14:textId="77777777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Соответственно, в ходе пересмотра стандартов целесообразно:</w:t>
      </w:r>
    </w:p>
    <w:p w14:paraId="63099A46" w14:textId="473A3DC3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1)</w:t>
      </w:r>
      <w:r w:rsidRPr="00327F29">
        <w:rPr>
          <w:b w:val="0"/>
          <w:i w:val="0"/>
          <w:sz w:val="24"/>
          <w:szCs w:val="24"/>
        </w:rPr>
        <w:t xml:space="preserve"> В СТ РК 69-2012 перенести и сконцентрировать все нормы, касающиеся индивидуального изготовления нижних конечностей.</w:t>
      </w:r>
    </w:p>
    <w:p w14:paraId="0270539D" w14:textId="70694DFC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lastRenderedPageBreak/>
        <w:t>2)</w:t>
      </w:r>
      <w:r w:rsidRPr="00327F29">
        <w:rPr>
          <w:b w:val="0"/>
          <w:i w:val="0"/>
          <w:sz w:val="24"/>
          <w:szCs w:val="24"/>
        </w:rPr>
        <w:t xml:space="preserve"> В СТ РК 70–2012 перенести и сконцентрировать все нормы, касающиеся индивидуального изготовления верхних конечностей.</w:t>
      </w:r>
    </w:p>
    <w:p w14:paraId="2A445BE5" w14:textId="305E663D" w:rsidR="00327F29" w:rsidRP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3)</w:t>
      </w:r>
      <w:r w:rsidRPr="00327F29">
        <w:rPr>
          <w:b w:val="0"/>
          <w:i w:val="0"/>
          <w:sz w:val="24"/>
          <w:szCs w:val="24"/>
        </w:rPr>
        <w:t xml:space="preserve"> В СТ РК 68-2012 оставить все нормы, касающиеся протезно-ортопедических средств (изделий) индивидуального изготовления, компенсирующих нарушенные или утраченные функции организма вследствие заболевания или повреждения здоровья за исключением индивидуального изготовления протезов </w:t>
      </w:r>
      <w:r w:rsidRPr="00327F29">
        <w:rPr>
          <w:b w:val="0"/>
          <w:i w:val="0"/>
          <w:sz w:val="24"/>
          <w:szCs w:val="24"/>
        </w:rPr>
        <w:t>верхних и нижних конечностей,</w:t>
      </w:r>
      <w:r w:rsidRPr="00327F29">
        <w:rPr>
          <w:b w:val="0"/>
          <w:i w:val="0"/>
          <w:sz w:val="24"/>
          <w:szCs w:val="24"/>
        </w:rPr>
        <w:t xml:space="preserve"> предусмотренных </w:t>
      </w:r>
      <w:r>
        <w:rPr>
          <w:b w:val="0"/>
          <w:i w:val="0"/>
          <w:sz w:val="24"/>
          <w:szCs w:val="24"/>
        </w:rPr>
        <w:t xml:space="preserve">СТ РК </w:t>
      </w:r>
      <w:r w:rsidRPr="00327F29">
        <w:rPr>
          <w:b w:val="0"/>
          <w:i w:val="0"/>
          <w:sz w:val="24"/>
          <w:szCs w:val="24"/>
        </w:rPr>
        <w:t>69-2012 и СТ РК 70–2012.</w:t>
      </w:r>
    </w:p>
    <w:p w14:paraId="737D36DD" w14:textId="7BA622F8" w:rsidR="00327F29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4)</w:t>
      </w:r>
      <w:r w:rsidRPr="00327F29">
        <w:rPr>
          <w:b w:val="0"/>
          <w:i w:val="0"/>
          <w:sz w:val="24"/>
          <w:szCs w:val="24"/>
        </w:rPr>
        <w:t xml:space="preserve"> В СТ РК 1724-2007 пересмотреть замену законодательно не актуальных медицинских услуг на требования к взаимосвязанным протезно-ортопедической и медики-технической помощи в соответствии с Социальным кодексом РК.</w:t>
      </w:r>
    </w:p>
    <w:bookmarkEnd w:id="0"/>
    <w:p w14:paraId="515D475F" w14:textId="77777777" w:rsidR="00327F29" w:rsidRPr="00F468FE" w:rsidRDefault="00327F29" w:rsidP="00327F29">
      <w:pPr>
        <w:pStyle w:val="31"/>
        <w:ind w:firstLine="567"/>
        <w:jc w:val="both"/>
        <w:rPr>
          <w:b w:val="0"/>
          <w:i w:val="0"/>
          <w:sz w:val="24"/>
          <w:szCs w:val="24"/>
        </w:rPr>
      </w:pPr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5C1CFF5D" w:rsidR="004B459C" w:rsidRPr="00AA194B" w:rsidRDefault="00AA194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Инициативная разработка.</w:t>
      </w:r>
    </w:p>
    <w:p w14:paraId="6651D82E" w14:textId="77777777" w:rsidR="00146D9C" w:rsidRPr="00F453C2" w:rsidRDefault="00146D9C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407D3A16" w14:textId="2396A6F0" w:rsidR="003074B0" w:rsidRDefault="003074B0" w:rsidP="004B459C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>Объектом</w:t>
      </w:r>
      <w:r w:rsidR="00327F29">
        <w:rPr>
          <w:rStyle w:val="FontStyle61"/>
          <w:rFonts w:ascii="Times New Roman" w:hAnsi="Times New Roman" w:cs="Times New Roman"/>
          <w:sz w:val="24"/>
        </w:rPr>
        <w:t xml:space="preserve"> данного проекта стандарта являе</w:t>
      </w:r>
      <w:r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327F29">
        <w:rPr>
          <w:rStyle w:val="FontStyle61"/>
          <w:rFonts w:ascii="Times New Roman" w:hAnsi="Times New Roman" w:cs="Times New Roman"/>
          <w:sz w:val="24"/>
          <w:lang w:val="kk-KZ"/>
        </w:rPr>
        <w:t>медико-техническая помощь</w:t>
      </w:r>
      <w:r w:rsidR="00327F29" w:rsidRPr="00327F29">
        <w:rPr>
          <w:rStyle w:val="FontStyle61"/>
          <w:rFonts w:ascii="Times New Roman" w:hAnsi="Times New Roman" w:cs="Times New Roman"/>
          <w:sz w:val="24"/>
          <w:lang w:val="kk-KZ"/>
        </w:rPr>
        <w:t xml:space="preserve"> по протезированию и обеспечение протезно-ортопедическими изделиями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1060D1DF" w14:textId="0428AAE8" w:rsidR="00707E09" w:rsidRDefault="00BF4109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Аспектом данного стандарта являю</w:t>
      </w:r>
      <w:r w:rsidR="003074B0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327F29">
        <w:rPr>
          <w:rStyle w:val="FontStyle61"/>
          <w:rFonts w:ascii="Times New Roman" w:hAnsi="Times New Roman" w:cs="Times New Roman"/>
          <w:sz w:val="24"/>
          <w:lang w:val="kk-KZ"/>
        </w:rPr>
        <w:t>требования к медико-технической помощи</w:t>
      </w:r>
      <w:r w:rsidR="00327F29" w:rsidRPr="00327F29">
        <w:rPr>
          <w:rStyle w:val="FontStyle61"/>
          <w:rFonts w:ascii="Times New Roman" w:hAnsi="Times New Roman" w:cs="Times New Roman"/>
          <w:sz w:val="24"/>
          <w:lang w:val="kk-KZ"/>
        </w:rPr>
        <w:t xml:space="preserve"> по протезированию и обеспечение протезно-ортопедическими изделиями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085DC415" w14:textId="77777777" w:rsidR="00EF54A3" w:rsidRDefault="00EF54A3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7B012A88" w14:textId="48878D2F" w:rsidR="00343E8A" w:rsidRDefault="00F453C2" w:rsidP="00F453C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Проект национального стандарта взаимосвязан</w:t>
      </w:r>
      <w:r w:rsidR="00343E8A" w:rsidRPr="00343E8A">
        <w:rPr>
          <w:color w:val="000000"/>
          <w:sz w:val="24"/>
          <w:szCs w:val="28"/>
        </w:rPr>
        <w:t xml:space="preserve"> </w:t>
      </w:r>
      <w:r w:rsidR="00343E8A">
        <w:rPr>
          <w:color w:val="000000"/>
          <w:sz w:val="24"/>
          <w:szCs w:val="28"/>
          <w:lang w:val="kk-KZ"/>
        </w:rPr>
        <w:t>следующими документами по стандартизации:</w:t>
      </w:r>
    </w:p>
    <w:p w14:paraId="017BB036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3.4–2017 Государственная система технического регулирования Республики Казахстан. Формы сертификатов соответствия, декларации о соответствии и порядок их заполнения.</w:t>
      </w:r>
    </w:p>
    <w:p w14:paraId="0123BEFE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57–2015 Обувь ортопедическая сложная ручного и механического производства. Общие технические условия.</w:t>
      </w:r>
    </w:p>
    <w:p w14:paraId="5362D2AA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58–2015 Обувь ортопедическая малосложная, профилактическая ручного и механического производства. Общие технические условия.</w:t>
      </w:r>
    </w:p>
    <w:p w14:paraId="1138B889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68* Изделия протезно-ортопедические, изготовленные по индивидуальным заказам населения. Общие технические условия.</w:t>
      </w:r>
    </w:p>
    <w:p w14:paraId="480C12CC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69* Протезы нижних конечностей, изготовленные по индивидуальным заказам населения. Общие технические условия.</w:t>
      </w:r>
    </w:p>
    <w:p w14:paraId="3F4B0BA8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СТ РК 70* Протезы верхних конечностей, изготовленные по индивидуальным</w:t>
      </w:r>
      <w:r>
        <w:rPr>
          <w:color w:val="000000"/>
          <w:sz w:val="24"/>
          <w:szCs w:val="28"/>
          <w:lang w:val="kk-KZ"/>
        </w:rPr>
        <w:t xml:space="preserve"> </w:t>
      </w:r>
      <w:r w:rsidRPr="00327F29">
        <w:rPr>
          <w:color w:val="000000"/>
          <w:sz w:val="24"/>
          <w:szCs w:val="28"/>
          <w:lang w:val="kk-KZ"/>
        </w:rPr>
        <w:t>заказам населения. Общие технические условия.</w:t>
      </w:r>
    </w:p>
    <w:p w14:paraId="3D0B0F03" w14:textId="77777777" w:rsidR="00327F29" w:rsidRPr="00327F29" w:rsidRDefault="00327F29" w:rsidP="00327F29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ГОСТ 12.1.004–91 Система стандартов безопасности труда. Пожарная безопасность. Общие требования.</w:t>
      </w:r>
    </w:p>
    <w:p w14:paraId="3D2F2F88" w14:textId="6C4BBDE7" w:rsidR="00B648EF" w:rsidRPr="00327F29" w:rsidRDefault="00327F29" w:rsidP="00327F29">
      <w:pPr>
        <w:pStyle w:val="11"/>
        <w:ind w:firstLine="567"/>
        <w:jc w:val="both"/>
        <w:rPr>
          <w:b/>
          <w:color w:val="000000"/>
          <w:sz w:val="24"/>
          <w:szCs w:val="28"/>
          <w:lang w:val="kk-KZ"/>
        </w:rPr>
      </w:pPr>
      <w:r w:rsidRPr="00327F29">
        <w:rPr>
          <w:color w:val="000000"/>
          <w:sz w:val="24"/>
          <w:szCs w:val="28"/>
          <w:lang w:val="kk-KZ"/>
        </w:rPr>
        <w:t>ГОСТ 12.1.005–88 Система стандартов безопасности труда. Общие санитарно-гигиенические требования к воздуху рабочей зоны.</w:t>
      </w:r>
    </w:p>
    <w:p w14:paraId="0AB547E9" w14:textId="77777777" w:rsidR="00327F29" w:rsidRDefault="00327F2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BB91DEF" w14:textId="372111D1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C35E9" w14:textId="4BF2B8DB" w:rsidR="00707E09" w:rsidRPr="007F0F23" w:rsidRDefault="00146D9C" w:rsidP="00327F29">
      <w:pPr>
        <w:pStyle w:val="a3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Государственные органы в 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>сфере социальной защиты и его</w:t>
      </w: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 территориальные департаменты,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 xml:space="preserve"> местные исполнительные органы, производители протезно</w:t>
      </w:r>
      <w:r w:rsidR="00AA194B">
        <w:rPr>
          <w:rFonts w:ascii="Times New Roman" w:hAnsi="Times New Roman" w:cs="Times New Roman"/>
          <w:sz w:val="24"/>
          <w:szCs w:val="24"/>
        </w:rPr>
        <w:t>-ортопедических изделий, профильные ассоциации и другие субъекты национальной системы стандартизации</w:t>
      </w:r>
      <w:r w:rsidR="007F0F2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05CC0CD" w14:textId="77777777" w:rsidR="00327F29" w:rsidRPr="00327F29" w:rsidRDefault="00327F29" w:rsidP="00327F29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27F29">
        <w:rPr>
          <w:rFonts w:ascii="Times New Roman" w:hAnsi="Times New Roman" w:cs="Times New Roman"/>
          <w:sz w:val="20"/>
          <w:szCs w:val="20"/>
        </w:rPr>
        <w:t>* на стадии разработки</w:t>
      </w: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AD9712" w14:textId="6C2B7D03" w:rsidR="007F0F23" w:rsidRPr="00EF54A3" w:rsidRDefault="00AA194B" w:rsidP="00EF54A3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Министерство здравоохранения Республики Казахстан, Министерство труда и социальной защиты Республики Казахстан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местные исполнительные органы, 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профильные объединения юридических лиц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 производители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и др. субъекты национальной системы стандарт</w:t>
      </w:r>
      <w:r w:rsid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изации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.</w:t>
      </w:r>
    </w:p>
    <w:p w14:paraId="5B5C9D98" w14:textId="77777777" w:rsidR="00F20F59" w:rsidRPr="00F453C2" w:rsidRDefault="00F20F59" w:rsidP="00F20F59">
      <w:pPr>
        <w:pStyle w:val="a3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00EEB122" w:rsidR="004B459C" w:rsidRDefault="00AA194B" w:rsidP="00F453C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Отсутствуют.</w:t>
      </w:r>
    </w:p>
    <w:p w14:paraId="33235568" w14:textId="77777777" w:rsidR="00146D9C" w:rsidRDefault="00146D9C" w:rsidP="003F5FB8">
      <w:pPr>
        <w:pStyle w:val="a3"/>
        <w:ind w:firstLine="708"/>
        <w:jc w:val="both"/>
        <w:rPr>
          <w:b/>
          <w:sz w:val="24"/>
          <w:szCs w:val="24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B1023C" w14:textId="31A48203" w:rsidR="00146D9C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6D4084E" w14:textId="5B3D64EC" w:rsidR="00707E09" w:rsidRPr="00146D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 w:rsidR="00F453C2"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 w:rsidR="00146D9C"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2F4F4E83" w14:textId="18190036" w:rsidR="00707E09" w:rsidRPr="002C2BF2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="00707E09" w:rsidRPr="002C2BF2">
        <w:rPr>
          <w:rFonts w:ascii="Times New Roman" w:hAnsi="Times New Roman" w:cs="Times New Roman"/>
          <w:sz w:val="24"/>
          <w:szCs w:val="24"/>
          <w:lang w:val="kk-KZ"/>
        </w:rPr>
        <w:t>л.почта: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kazecotech_standart@mail.</w:t>
        </w:r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C2BF2" w:rsidRPr="002C2BF2">
        <w:t xml:space="preserve">  </w:t>
      </w:r>
      <w:r w:rsidRPr="002C2BF2">
        <w:rPr>
          <w:lang w:val="kk-KZ"/>
        </w:rPr>
        <w:t xml:space="preserve"> </w:t>
      </w:r>
      <w:r w:rsidR="00533E89" w:rsidRPr="002C2BF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A1331" w14:textId="6B29AC46" w:rsidR="004B45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="00146D9C" w:rsidRPr="00146D9C">
        <w:rPr>
          <w:rFonts w:ascii="Times New Roman" w:hAnsi="Times New Roman" w:cs="Times New Roman"/>
          <w:sz w:val="24"/>
          <w:szCs w:val="24"/>
        </w:rPr>
        <w:t xml:space="preserve"> +</w:t>
      </w:r>
      <w:r w:rsidR="00AA194B">
        <w:rPr>
          <w:rFonts w:ascii="Times New Roman" w:hAnsi="Times New Roman" w:cs="Times New Roman"/>
          <w:sz w:val="24"/>
          <w:szCs w:val="24"/>
        </w:rPr>
        <w:t>7 7172 25 15 88</w:t>
      </w:r>
    </w:p>
    <w:p w14:paraId="38C2DE22" w14:textId="2E0710E1" w:rsidR="00AA194B" w:rsidRPr="00146D9C" w:rsidRDefault="00AA194B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+7 708 425 15 88</w:t>
      </w:r>
    </w:p>
    <w:p w14:paraId="088F295A" w14:textId="121933F7" w:rsidR="004B459C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EB58E1" w14:textId="77777777" w:rsidR="001D3A11" w:rsidRPr="00E362D7" w:rsidRDefault="001D3A11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37C3B0" w14:textId="1E08191D" w:rsidR="00707E09" w:rsidRPr="00146D9C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47A7CF8" w14:textId="7A058308" w:rsidR="00FF020F" w:rsidRDefault="00FF020F" w:rsidP="00795512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6842A2F2" w14:textId="173C0DCF" w:rsidR="00327F29" w:rsidRDefault="00327F29" w:rsidP="00327F29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670C5188" w14:textId="262B4610" w:rsidR="00327F29" w:rsidRDefault="00327F29" w:rsidP="00327F29">
      <w:pPr>
        <w:pStyle w:val="a3"/>
        <w:ind w:left="567" w:right="6803"/>
        <w:jc w:val="both"/>
        <w:rPr>
          <w:rFonts w:ascii="Times New Roman" w:hAnsi="Times New Roman" w:cs="Times New Roman"/>
        </w:rPr>
      </w:pPr>
    </w:p>
    <w:sectPr w:rsidR="00327F2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5C7EA" w14:textId="77777777" w:rsidR="00270357" w:rsidRDefault="00270357" w:rsidP="00A4133A">
      <w:pPr>
        <w:spacing w:after="0" w:line="240" w:lineRule="auto"/>
      </w:pPr>
      <w:r>
        <w:separator/>
      </w:r>
    </w:p>
  </w:endnote>
  <w:endnote w:type="continuationSeparator" w:id="0">
    <w:p w14:paraId="10F5B277" w14:textId="77777777" w:rsidR="00270357" w:rsidRDefault="00270357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0F3BFB09" w:rsidR="00A4133A" w:rsidRPr="00AA194B" w:rsidRDefault="000C07EE" w:rsidP="00AA194B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53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90E0C" w14:textId="77777777" w:rsidR="00270357" w:rsidRDefault="00270357" w:rsidP="00A4133A">
      <w:pPr>
        <w:spacing w:after="0" w:line="240" w:lineRule="auto"/>
      </w:pPr>
      <w:r>
        <w:separator/>
      </w:r>
    </w:p>
  </w:footnote>
  <w:footnote w:type="continuationSeparator" w:id="0">
    <w:p w14:paraId="4EE75353" w14:textId="77777777" w:rsidR="00270357" w:rsidRDefault="00270357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FB61FD"/>
    <w:multiLevelType w:val="hybridMultilevel"/>
    <w:tmpl w:val="62024BEE"/>
    <w:lvl w:ilvl="0" w:tplc="5A864C24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490661B"/>
    <w:multiLevelType w:val="hybridMultilevel"/>
    <w:tmpl w:val="7AFA5448"/>
    <w:lvl w:ilvl="0" w:tplc="C0BA433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FE1993"/>
    <w:multiLevelType w:val="hybridMultilevel"/>
    <w:tmpl w:val="DBB4253A"/>
    <w:lvl w:ilvl="0" w:tplc="D3BA2EAC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46D9C"/>
    <w:rsid w:val="00152FCE"/>
    <w:rsid w:val="00164C07"/>
    <w:rsid w:val="00176FEC"/>
    <w:rsid w:val="0019516C"/>
    <w:rsid w:val="001A5893"/>
    <w:rsid w:val="001B3AAC"/>
    <w:rsid w:val="001B6122"/>
    <w:rsid w:val="001C36E0"/>
    <w:rsid w:val="001C3C43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678D1"/>
    <w:rsid w:val="00270357"/>
    <w:rsid w:val="00273595"/>
    <w:rsid w:val="00285582"/>
    <w:rsid w:val="002A4EDB"/>
    <w:rsid w:val="002A72C3"/>
    <w:rsid w:val="002C2BF2"/>
    <w:rsid w:val="002D7C6B"/>
    <w:rsid w:val="002E0D62"/>
    <w:rsid w:val="002E4403"/>
    <w:rsid w:val="002E4EDE"/>
    <w:rsid w:val="002E59AC"/>
    <w:rsid w:val="002E6A65"/>
    <w:rsid w:val="002F1D95"/>
    <w:rsid w:val="00304248"/>
    <w:rsid w:val="003074B0"/>
    <w:rsid w:val="00327EBD"/>
    <w:rsid w:val="00327F29"/>
    <w:rsid w:val="00343E8A"/>
    <w:rsid w:val="00344EB8"/>
    <w:rsid w:val="00350BB1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47DF5"/>
    <w:rsid w:val="005846F4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31FE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60DB2"/>
    <w:rsid w:val="00981207"/>
    <w:rsid w:val="009816D7"/>
    <w:rsid w:val="00990D57"/>
    <w:rsid w:val="009937C5"/>
    <w:rsid w:val="009B44D8"/>
    <w:rsid w:val="009E0014"/>
    <w:rsid w:val="009E4D11"/>
    <w:rsid w:val="009F00FB"/>
    <w:rsid w:val="009F581F"/>
    <w:rsid w:val="00A17BB9"/>
    <w:rsid w:val="00A217B2"/>
    <w:rsid w:val="00A228A5"/>
    <w:rsid w:val="00A23008"/>
    <w:rsid w:val="00A272AD"/>
    <w:rsid w:val="00A4133A"/>
    <w:rsid w:val="00A4755E"/>
    <w:rsid w:val="00A7273C"/>
    <w:rsid w:val="00A822A4"/>
    <w:rsid w:val="00AA194B"/>
    <w:rsid w:val="00AA53C0"/>
    <w:rsid w:val="00AB5054"/>
    <w:rsid w:val="00AB5778"/>
    <w:rsid w:val="00AC7866"/>
    <w:rsid w:val="00AD4936"/>
    <w:rsid w:val="00AE1428"/>
    <w:rsid w:val="00AF22B2"/>
    <w:rsid w:val="00AF3181"/>
    <w:rsid w:val="00B43E84"/>
    <w:rsid w:val="00B4688F"/>
    <w:rsid w:val="00B514ED"/>
    <w:rsid w:val="00B648EF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E0D"/>
    <w:rsid w:val="00BE2B3F"/>
    <w:rsid w:val="00BE314E"/>
    <w:rsid w:val="00BF4109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56B4B"/>
    <w:rsid w:val="00C64B1B"/>
    <w:rsid w:val="00C6683A"/>
    <w:rsid w:val="00C66E43"/>
    <w:rsid w:val="00C93178"/>
    <w:rsid w:val="00C9798E"/>
    <w:rsid w:val="00CA41A2"/>
    <w:rsid w:val="00CB136A"/>
    <w:rsid w:val="00CB4CA5"/>
    <w:rsid w:val="00CB79AC"/>
    <w:rsid w:val="00CC620D"/>
    <w:rsid w:val="00CD5017"/>
    <w:rsid w:val="00CE159F"/>
    <w:rsid w:val="00CE5317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620F"/>
    <w:rsid w:val="00E01997"/>
    <w:rsid w:val="00E17743"/>
    <w:rsid w:val="00E362D7"/>
    <w:rsid w:val="00E43630"/>
    <w:rsid w:val="00E4577B"/>
    <w:rsid w:val="00E65FC4"/>
    <w:rsid w:val="00E72613"/>
    <w:rsid w:val="00E83AA1"/>
    <w:rsid w:val="00E84B61"/>
    <w:rsid w:val="00EA640B"/>
    <w:rsid w:val="00EF54A3"/>
    <w:rsid w:val="00F20F59"/>
    <w:rsid w:val="00F27565"/>
    <w:rsid w:val="00F453C2"/>
    <w:rsid w:val="00F468FE"/>
    <w:rsid w:val="00F474F7"/>
    <w:rsid w:val="00F53B50"/>
    <w:rsid w:val="00F660A7"/>
    <w:rsid w:val="00F702BB"/>
    <w:rsid w:val="00F8271F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Пк</cp:lastModifiedBy>
  <cp:revision>29</cp:revision>
  <cp:lastPrinted>2019-05-06T08:17:00Z</cp:lastPrinted>
  <dcterms:created xsi:type="dcterms:W3CDTF">2019-11-21T16:05:00Z</dcterms:created>
  <dcterms:modified xsi:type="dcterms:W3CDTF">2023-09-15T05:27:00Z</dcterms:modified>
</cp:coreProperties>
</file>